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7A98" w:rsidRDefault="00B97A98"/>
    <w:p w:rsidR="006B28EF" w:rsidRDefault="006B28EF"/>
    <w:p w:rsidR="006B28EF" w:rsidRPr="0071666B" w:rsidRDefault="006B28EF" w:rsidP="006B28EF">
      <w:pPr>
        <w:widowControl w:val="0"/>
        <w:autoSpaceDE w:val="0"/>
        <w:autoSpaceDN w:val="0"/>
        <w:adjustRightInd w:val="0"/>
        <w:ind w:left="5387"/>
        <w:rPr>
          <w:rFonts w:ascii="Times New Roman" w:hAnsi="Times New Roman"/>
          <w:sz w:val="20"/>
          <w:szCs w:val="20"/>
        </w:rPr>
      </w:pPr>
      <w:bookmarkStart w:id="0" w:name="Par154"/>
      <w:bookmarkEnd w:id="0"/>
      <w:r w:rsidRPr="0071666B">
        <w:rPr>
          <w:rFonts w:ascii="Times New Roman" w:hAnsi="Times New Roman"/>
          <w:sz w:val="20"/>
          <w:szCs w:val="20"/>
        </w:rPr>
        <w:t>Утвержден</w:t>
      </w:r>
    </w:p>
    <w:p w:rsidR="006B28EF" w:rsidRPr="0071666B" w:rsidRDefault="006B28EF" w:rsidP="006B28EF">
      <w:pPr>
        <w:widowControl w:val="0"/>
        <w:autoSpaceDE w:val="0"/>
        <w:autoSpaceDN w:val="0"/>
        <w:adjustRightInd w:val="0"/>
        <w:ind w:left="5387"/>
        <w:rPr>
          <w:rFonts w:ascii="Times New Roman" w:hAnsi="Times New Roman"/>
          <w:sz w:val="20"/>
          <w:szCs w:val="20"/>
        </w:rPr>
      </w:pPr>
      <w:r w:rsidRPr="0071666B">
        <w:rPr>
          <w:rFonts w:ascii="Times New Roman" w:hAnsi="Times New Roman"/>
          <w:sz w:val="20"/>
          <w:szCs w:val="20"/>
        </w:rPr>
        <w:t>постановлением Главы муниципального образования «Каменский городской округ» от  13.11.2020 № 1635</w:t>
      </w:r>
    </w:p>
    <w:p w:rsidR="006B28EF" w:rsidRPr="0071666B" w:rsidRDefault="006B28EF" w:rsidP="006B28EF">
      <w:pPr>
        <w:widowControl w:val="0"/>
        <w:autoSpaceDE w:val="0"/>
        <w:autoSpaceDN w:val="0"/>
        <w:adjustRightInd w:val="0"/>
        <w:ind w:left="5387"/>
        <w:rPr>
          <w:rFonts w:ascii="Times New Roman" w:hAnsi="Times New Roman"/>
          <w:sz w:val="20"/>
          <w:szCs w:val="20"/>
        </w:rPr>
      </w:pPr>
      <w:r w:rsidRPr="0071666B">
        <w:rPr>
          <w:rFonts w:ascii="Times New Roman" w:hAnsi="Times New Roman"/>
          <w:sz w:val="20"/>
          <w:szCs w:val="20"/>
        </w:rPr>
        <w:t xml:space="preserve">«Об утверждении муниципальной программы </w:t>
      </w:r>
    </w:p>
    <w:p w:rsidR="006B28EF" w:rsidRPr="0071666B" w:rsidRDefault="006B28EF" w:rsidP="006B28EF">
      <w:pPr>
        <w:widowControl w:val="0"/>
        <w:autoSpaceDE w:val="0"/>
        <w:autoSpaceDN w:val="0"/>
        <w:adjustRightInd w:val="0"/>
        <w:ind w:left="5387"/>
        <w:rPr>
          <w:rFonts w:ascii="Times New Roman" w:hAnsi="Times New Roman"/>
          <w:sz w:val="20"/>
          <w:szCs w:val="20"/>
        </w:rPr>
      </w:pPr>
      <w:proofErr w:type="gramStart"/>
      <w:r w:rsidRPr="0071666B">
        <w:rPr>
          <w:rFonts w:ascii="Times New Roman" w:hAnsi="Times New Roman"/>
          <w:sz w:val="20"/>
          <w:szCs w:val="20"/>
        </w:rPr>
        <w:t xml:space="preserve">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 (в редакции </w:t>
      </w:r>
      <w:proofErr w:type="gramEnd"/>
    </w:p>
    <w:p w:rsidR="006B28EF" w:rsidRPr="0071666B" w:rsidRDefault="006B28EF" w:rsidP="006B28EF">
      <w:pPr>
        <w:widowControl w:val="0"/>
        <w:autoSpaceDE w:val="0"/>
        <w:autoSpaceDN w:val="0"/>
        <w:adjustRightInd w:val="0"/>
        <w:ind w:left="5387"/>
        <w:rPr>
          <w:rFonts w:ascii="Times New Roman" w:hAnsi="Times New Roman"/>
          <w:sz w:val="20"/>
          <w:szCs w:val="20"/>
        </w:rPr>
      </w:pPr>
      <w:r w:rsidRPr="0071666B">
        <w:rPr>
          <w:rFonts w:ascii="Times New Roman" w:hAnsi="Times New Roman"/>
          <w:sz w:val="20"/>
          <w:szCs w:val="20"/>
        </w:rPr>
        <w:t xml:space="preserve">от 26.03.2021г  № 407, от 26.05.2021 №852, от 04.08.2021 № 1320, </w:t>
      </w:r>
      <w:r w:rsidR="00F35426">
        <w:rPr>
          <w:rFonts w:ascii="Times New Roman" w:hAnsi="Times New Roman"/>
          <w:sz w:val="20"/>
          <w:szCs w:val="20"/>
        </w:rPr>
        <w:t>21.12.2021 № 2164</w:t>
      </w:r>
      <w:bookmarkStart w:id="1" w:name="_GoBack"/>
      <w:bookmarkEnd w:id="1"/>
      <w:r w:rsidRPr="0071666B">
        <w:rPr>
          <w:rFonts w:ascii="Times New Roman" w:hAnsi="Times New Roman"/>
          <w:sz w:val="20"/>
          <w:szCs w:val="20"/>
        </w:rPr>
        <w:t>)</w:t>
      </w:r>
    </w:p>
    <w:tbl>
      <w:tblPr>
        <w:tblpPr w:leftFromText="180" w:rightFromText="180" w:vertAnchor="page" w:horzAnchor="margin" w:tblpY="3942"/>
        <w:tblW w:w="102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4"/>
        <w:gridCol w:w="1276"/>
        <w:gridCol w:w="5435"/>
      </w:tblGrid>
      <w:tr w:rsidR="0071666B" w:rsidTr="00AE2768">
        <w:trPr>
          <w:trHeight w:hRule="exact" w:val="280"/>
        </w:trPr>
        <w:tc>
          <w:tcPr>
            <w:tcW w:w="10255" w:type="dxa"/>
            <w:gridSpan w:val="4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</w:tr>
      <w:tr w:rsidR="0071666B" w:rsidTr="00AE2768">
        <w:trPr>
          <w:trHeight w:val="373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10235" w:type="dxa"/>
            <w:gridSpan w:val="3"/>
            <w:shd w:val="clear" w:color="auto" w:fill="auto"/>
          </w:tcPr>
          <w:p w:rsidR="0071666B" w:rsidRDefault="0071666B" w:rsidP="00AE2768">
            <w:pPr>
              <w:pStyle w:val="ParagraphStyle0"/>
              <w:ind w:left="0"/>
              <w:rPr>
                <w:rStyle w:val="CharacterStyle0"/>
              </w:rPr>
            </w:pPr>
            <w:r>
              <w:rPr>
                <w:rStyle w:val="CharacterStyle0"/>
              </w:rPr>
              <w:t>ПАСПОРТ</w:t>
            </w:r>
          </w:p>
        </w:tc>
      </w:tr>
      <w:tr w:rsidR="0071666B" w:rsidTr="00AE2768">
        <w:trPr>
          <w:trHeight w:val="373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10235" w:type="dxa"/>
            <w:gridSpan w:val="3"/>
            <w:shd w:val="clear" w:color="auto" w:fill="auto"/>
          </w:tcPr>
          <w:p w:rsidR="0071666B" w:rsidRDefault="0071666B" w:rsidP="00AE2768">
            <w:pPr>
              <w:pStyle w:val="ParagraphStyle0"/>
              <w:rPr>
                <w:rStyle w:val="CharacterStyle0"/>
              </w:rPr>
            </w:pPr>
            <w:r>
              <w:rPr>
                <w:rStyle w:val="CharacterStyle0"/>
              </w:rPr>
              <w:t>муниципальной программы</w:t>
            </w:r>
          </w:p>
        </w:tc>
      </w:tr>
      <w:tr w:rsidR="0071666B" w:rsidTr="00AE2768">
        <w:trPr>
          <w:trHeight w:val="1000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10235" w:type="dxa"/>
            <w:gridSpan w:val="3"/>
            <w:shd w:val="clear" w:color="auto" w:fill="auto"/>
          </w:tcPr>
          <w:p w:rsidR="0071666B" w:rsidRDefault="0071666B" w:rsidP="00AE2768">
            <w:pPr>
              <w:pStyle w:val="ParagraphStyle0"/>
              <w:rPr>
                <w:rStyle w:val="CharacterStyle0"/>
              </w:rPr>
            </w:pPr>
            <w:r>
              <w:rPr>
                <w:rStyle w:val="CharacterStyle0"/>
              </w:rPr>
              <w:t>«Развитие культуры, физической культуры, спорта, молодежной политики, дополнительного образования в сфере культуры   в Каменском городском округе до 2026 года»</w:t>
            </w:r>
          </w:p>
        </w:tc>
      </w:tr>
      <w:tr w:rsidR="0071666B" w:rsidTr="00AE2768">
        <w:trPr>
          <w:trHeight w:hRule="exact" w:val="122"/>
        </w:trPr>
        <w:tc>
          <w:tcPr>
            <w:tcW w:w="10255" w:type="dxa"/>
            <w:gridSpan w:val="4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</w:tr>
      <w:tr w:rsidR="0071666B" w:rsidTr="00045C37">
        <w:trPr>
          <w:trHeight w:val="962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1"/>
              <w:rPr>
                <w:rStyle w:val="CharacterStyle1"/>
              </w:rPr>
            </w:pPr>
            <w:r>
              <w:rPr>
                <w:rStyle w:val="CharacterStyle1"/>
              </w:rPr>
              <w:t>Ответственный исполнитель муниципальной программы</w:t>
            </w:r>
          </w:p>
        </w:tc>
        <w:tc>
          <w:tcPr>
            <w:tcW w:w="671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2"/>
              <w:rPr>
                <w:rStyle w:val="CharacterStyle2"/>
              </w:rPr>
            </w:pPr>
            <w:r>
              <w:rPr>
                <w:rStyle w:val="CharacterStyle2"/>
              </w:rPr>
              <w:t>Управление культуры, спорта и делам молодежи Администрации муниципального образования "Каменский городской округ"</w:t>
            </w:r>
          </w:p>
        </w:tc>
      </w:tr>
      <w:tr w:rsidR="0071666B" w:rsidTr="00045C37">
        <w:trPr>
          <w:trHeight w:val="598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1"/>
              <w:rPr>
                <w:rStyle w:val="CharacterStyle1"/>
              </w:rPr>
            </w:pPr>
            <w:r>
              <w:rPr>
                <w:rStyle w:val="CharacterStyle1"/>
              </w:rPr>
              <w:t>Сроки реализации муниципальной программы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3"/>
              <w:rPr>
                <w:rStyle w:val="CharacterStyle3"/>
              </w:rPr>
            </w:pPr>
            <w:r>
              <w:rPr>
                <w:rStyle w:val="CharacterStyle3"/>
              </w:rPr>
              <w:t>2021 -</w:t>
            </w:r>
          </w:p>
        </w:tc>
        <w:tc>
          <w:tcPr>
            <w:tcW w:w="54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2"/>
              <w:rPr>
                <w:rStyle w:val="CharacterStyle2"/>
              </w:rPr>
            </w:pPr>
            <w:r>
              <w:rPr>
                <w:rStyle w:val="CharacterStyle2"/>
              </w:rPr>
              <w:t>2026 годы</w:t>
            </w:r>
          </w:p>
        </w:tc>
      </w:tr>
      <w:tr w:rsidR="0071666B" w:rsidTr="00045C37">
        <w:trPr>
          <w:trHeight w:val="602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1"/>
              <w:rPr>
                <w:rStyle w:val="CharacterStyle1"/>
              </w:rPr>
            </w:pPr>
            <w:r>
              <w:rPr>
                <w:rStyle w:val="CharacterStyle1"/>
              </w:rPr>
              <w:t>Цели и задачи муниципальной программы</w:t>
            </w:r>
          </w:p>
        </w:tc>
        <w:tc>
          <w:tcPr>
            <w:tcW w:w="6711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2"/>
              <w:rPr>
                <w:rStyle w:val="CharacterStyle2"/>
              </w:rPr>
            </w:pPr>
            <w:r>
              <w:rPr>
                <w:rStyle w:val="CharacterStyle2"/>
              </w:rPr>
              <w:t>Цель 1. Создание условий для развития детских школ искусств</w:t>
            </w:r>
          </w:p>
        </w:tc>
      </w:tr>
      <w:tr w:rsidR="0071666B" w:rsidTr="00045C37">
        <w:trPr>
          <w:trHeight w:val="1393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71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1.1. Активное участие учащихся детских школ искусств в районных, городских, краевых, региональных, всероссийских и международных культурных проектах, конкурсах, фестивалях.</w:t>
            </w:r>
          </w:p>
        </w:tc>
      </w:tr>
      <w:tr w:rsidR="0071666B" w:rsidTr="00045C37">
        <w:trPr>
          <w:trHeight w:val="1000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71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1.2. Реализация дополнительных образовательных программ музыкального и художественного направлений.</w:t>
            </w:r>
          </w:p>
        </w:tc>
      </w:tr>
      <w:tr w:rsidR="0071666B" w:rsidTr="00045C37">
        <w:trPr>
          <w:trHeight w:val="1667"/>
        </w:trPr>
        <w:tc>
          <w:tcPr>
            <w:tcW w:w="20" w:type="dxa"/>
          </w:tcPr>
          <w:p w:rsidR="0071666B" w:rsidRDefault="0071666B" w:rsidP="00AE2768">
            <w:pPr>
              <w:rPr>
                <w:rStyle w:val="FakeCharacterStyle"/>
              </w:rPr>
            </w:pPr>
          </w:p>
        </w:tc>
        <w:tc>
          <w:tcPr>
            <w:tcW w:w="352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71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1666B" w:rsidRDefault="0071666B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1.3. Постепенный переход на новые стандарты качества образования (предпрофессиональные общеобразовательные программы).</w:t>
            </w:r>
          </w:p>
        </w:tc>
      </w:tr>
    </w:tbl>
    <w:p w:rsidR="006B28EF" w:rsidRDefault="006B28EF"/>
    <w:p w:rsidR="006B28EF" w:rsidRDefault="006B28EF"/>
    <w:p w:rsidR="006B28EF" w:rsidRDefault="006B28EF">
      <w:pPr>
        <w:sectPr w:rsidR="006B28EF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AE2768">
        <w:trPr>
          <w:trHeight w:val="260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2. Создание условий для патриотического воспитания молодежи Каменского городского округа, построенного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сохранении культурной и исторической памяти</w:t>
            </w:r>
          </w:p>
        </w:tc>
      </w:tr>
      <w:tr w:rsidR="00B97A98" w:rsidTr="00AE2768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2.1. Гражданско-патриотическое воспитание молодежи</w:t>
            </w:r>
          </w:p>
        </w:tc>
      </w:tr>
      <w:tr w:rsidR="00B97A98" w:rsidTr="00AE2768">
        <w:trPr>
          <w:trHeight w:val="102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2.2. Развитие военно-патриотического направления воспитания молодежи Каменского городского округа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2.3. Историко-культурное воспитание молодых граждан, формирование навыков межкультурного диалога</w:t>
            </w:r>
          </w:p>
        </w:tc>
      </w:tr>
      <w:tr w:rsidR="00B97A98" w:rsidTr="00AE2768">
        <w:trPr>
          <w:trHeight w:val="492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3. Создание условий для развития культуры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3.1. Формирование единого культурного и информационного пространства Каменского городского округа</w:t>
            </w:r>
          </w:p>
        </w:tc>
      </w:tr>
      <w:tr w:rsidR="00B97A98" w:rsidTr="00AE2768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3.2. Сохранение и развитие кадрового и  творческого потенциала сферы культуры.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4. Повышение доступности и качества услуг, оказываемых населению в сфере культурно-досуговой деятельности.</w:t>
            </w:r>
          </w:p>
        </w:tc>
      </w:tr>
      <w:tr w:rsidR="00B97A98" w:rsidTr="00AE2768">
        <w:trPr>
          <w:trHeight w:val="100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4.1. Расширение участия населения Каменского городского округа в культурной жизни, обеспечение условий для творческой реализации граждан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5. Повышение доступности и качества услуг, оказываемых населению в сфере библиотечной деятельности</w:t>
            </w:r>
          </w:p>
        </w:tc>
      </w:tr>
      <w:tr w:rsidR="00B97A98" w:rsidTr="00AE2768">
        <w:trPr>
          <w:trHeight w:val="163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5.1. Расширение информационно-библиотечного пространства, обеспечивающего необходимый уровень предоставления населению библиотечных услуг в Каменском городском округе.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AE2768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</w:tr>
      <w:tr w:rsidR="00B97A98" w:rsidTr="00AE2768">
        <w:trPr>
          <w:trHeight w:val="1020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6. Обеспечение условий для развития инновационной деятельности муниципальных организаций культуры.</w:t>
            </w:r>
          </w:p>
        </w:tc>
      </w:tr>
      <w:tr w:rsidR="00B97A98" w:rsidTr="006A559E">
        <w:trPr>
          <w:trHeight w:val="1563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6.1. Совершенствование системы обеспечения безопасности, повышение эффективности условий, обеспечивающих исключение несанкционированного проникновения в здания, взлома и других преступных посягательств</w:t>
            </w:r>
          </w:p>
        </w:tc>
      </w:tr>
      <w:tr w:rsidR="00B97A98" w:rsidTr="00045C37">
        <w:trPr>
          <w:trHeight w:val="779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6.2. Модернизация и укрепление материально-технической и фоновой базы учреждений культуры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7. Совершенствование организационных, экономических и правовых механизмов развития культуры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7.1. Усиление контроля качества бухгалтерской отчетности</w:t>
            </w:r>
          </w:p>
        </w:tc>
      </w:tr>
      <w:tr w:rsidR="00B97A98" w:rsidTr="00045C37">
        <w:trPr>
          <w:trHeight w:val="1409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8. Создание условий для бесперебойного и качественного функционирования учреждений культуры, спорта и дополнительного образования детей.</w:t>
            </w:r>
          </w:p>
        </w:tc>
      </w:tr>
      <w:tr w:rsidR="00B97A98" w:rsidTr="00045C37">
        <w:trPr>
          <w:trHeight w:val="1380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8.1. Обеспечение исполнения полномочий муниципальных служащих Управления культуры, спорта и делам молодежи Администрации МО «Каменский городской округ».</w:t>
            </w:r>
          </w:p>
        </w:tc>
      </w:tr>
      <w:tr w:rsidR="00B97A98" w:rsidTr="00AE2768">
        <w:trPr>
          <w:trHeight w:val="1020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9. Создание условий для развития физической культуры и спорта в Каменском городском округе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9.1. Сохранение и развития кадрового и  спортивного  потенциала сферы физической культуры и спорта</w:t>
            </w:r>
          </w:p>
        </w:tc>
      </w:tr>
      <w:tr w:rsidR="00B97A98" w:rsidTr="00AE2768">
        <w:trPr>
          <w:trHeight w:val="1635"/>
        </w:trPr>
        <w:tc>
          <w:tcPr>
            <w:tcW w:w="20" w:type="dxa"/>
          </w:tcPr>
          <w:p w:rsidR="00B97A98" w:rsidRDefault="00B97A98" w:rsidP="00AE276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 w:rsidP="00AE276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AE2768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10. Создание условий, обеспечивающих возможность для населения Каменского городского круга вести здоровый образ жизни, систематически заниматься физической культурой и спортом.</w:t>
            </w:r>
          </w:p>
        </w:tc>
      </w:tr>
      <w:tr w:rsidR="00AE2768" w:rsidTr="00AE276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20" w:type="dxa"/>
          <w:trHeight w:val="100"/>
        </w:trPr>
        <w:tc>
          <w:tcPr>
            <w:tcW w:w="10186" w:type="dxa"/>
            <w:gridSpan w:val="2"/>
            <w:tcBorders>
              <w:top w:val="single" w:sz="4" w:space="0" w:color="auto"/>
            </w:tcBorders>
          </w:tcPr>
          <w:p w:rsidR="00AE2768" w:rsidRDefault="00AE2768" w:rsidP="00AE2768"/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045C37">
        <w:trPr>
          <w:trHeight w:val="146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10.1. Привлечение населения к здоровому образу жизни, увеличение количества жителей, систематически занимающихся физической культурой и спортом.</w:t>
            </w:r>
          </w:p>
        </w:tc>
      </w:tr>
      <w:tr w:rsidR="00B97A98" w:rsidTr="00045C37">
        <w:trPr>
          <w:trHeight w:val="1218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10.2. Увеличение количества жителей Каменского городского округа, систематически занимающихся физической культурой и спортом</w:t>
            </w:r>
          </w:p>
        </w:tc>
      </w:tr>
      <w:tr w:rsidR="00B97A98" w:rsidTr="00AE2768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11. Создание условий для реализации программ спортивной подготовки.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11.1. Увеличение количества  физкультурных мероприятий и спортивных мероприятий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11.2. Внедрение комплекса ГТО в Каменском городском округе.</w:t>
            </w:r>
          </w:p>
        </w:tc>
      </w:tr>
      <w:tr w:rsidR="00B97A98" w:rsidTr="00AE2768">
        <w:trPr>
          <w:trHeight w:val="10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Цель 12. Создание условий, обеспечивающих доступность к спортивной инфраструктуре Каменского городского округа</w:t>
            </w:r>
          </w:p>
        </w:tc>
      </w:tr>
      <w:tr w:rsidR="00B97A98" w:rsidTr="00AE2768">
        <w:trPr>
          <w:trHeight w:val="132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Задача 12.1. Создание и развитие эффективной и доступной для различных групп населения инфраструктуры сферы физической культуры и спорта.</w:t>
            </w:r>
          </w:p>
        </w:tc>
      </w:tr>
      <w:tr w:rsidR="00B97A98" w:rsidTr="00045C37">
        <w:trPr>
          <w:trHeight w:val="94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"/>
              <w:rPr>
                <w:rStyle w:val="CharacterStyle1"/>
              </w:rPr>
            </w:pPr>
            <w:r>
              <w:rPr>
                <w:rStyle w:val="CharacterStyle1"/>
              </w:rPr>
              <w:t>Перечень подпрограмм муниципальной программы (при их наличии)</w:t>
            </w:r>
          </w:p>
        </w:tc>
        <w:tc>
          <w:tcPr>
            <w:tcW w:w="6666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2"/>
              <w:rPr>
                <w:rStyle w:val="CharacterStyle2"/>
              </w:rPr>
            </w:pPr>
            <w:r>
              <w:rPr>
                <w:rStyle w:val="CharacterStyle2"/>
              </w:rPr>
              <w:t>1. «Развитие дополнительного образования в сфере культуры»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2. «Патриотическое воспитание молодежи Каменского городского округа»</w:t>
            </w:r>
          </w:p>
        </w:tc>
      </w:tr>
      <w:tr w:rsidR="00B97A98" w:rsidTr="00AE2768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3. «Развитие культуры в Каменском городском округе»</w:t>
            </w:r>
          </w:p>
        </w:tc>
      </w:tr>
      <w:tr w:rsidR="00B97A98" w:rsidTr="006A559E">
        <w:trPr>
          <w:trHeight w:val="161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4.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2026года»</w:t>
            </w:r>
          </w:p>
        </w:tc>
      </w:tr>
      <w:tr w:rsidR="00B97A98" w:rsidTr="00AE2768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5. «Развитие физической культуры и спорта в Каменском городском округе»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AE2768">
        <w:trPr>
          <w:trHeight w:hRule="exact" w:val="903"/>
        </w:trPr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AE2768" w:rsidTr="00AE2768">
        <w:trPr>
          <w:trHeight w:hRule="exact" w:val="4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:rsidR="00AE2768" w:rsidRDefault="00AE2768">
            <w:pPr>
              <w:rPr>
                <w:rStyle w:val="FakeCharacterStyle"/>
              </w:rPr>
            </w:pPr>
          </w:p>
        </w:tc>
      </w:tr>
      <w:tr w:rsidR="00B97A98" w:rsidTr="0071666B">
        <w:trPr>
          <w:trHeight w:val="67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6"/>
              <w:rPr>
                <w:rStyle w:val="CharacterStyle6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6. «Развитие инфраструктуры объектов спорта Каменского городского округа»</w:t>
            </w:r>
          </w:p>
        </w:tc>
      </w:tr>
      <w:tr w:rsidR="00B97A98" w:rsidTr="00045C37">
        <w:trPr>
          <w:trHeight w:val="119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7"/>
              <w:rPr>
                <w:rStyle w:val="CharacterStyle7"/>
              </w:rPr>
            </w:pPr>
            <w:r>
              <w:rPr>
                <w:rStyle w:val="CharacterStyle7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6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8"/>
              <w:rPr>
                <w:rStyle w:val="CharacterStyle8"/>
              </w:rPr>
            </w:pPr>
            <w:r>
              <w:rPr>
                <w:rStyle w:val="CharacterStyle8"/>
              </w:rPr>
              <w:t>1. Доля лауреатов международных, региональных, областных конкурсов в общем числе обучающихся ДШИ</w:t>
            </w:r>
          </w:p>
        </w:tc>
      </w:tr>
      <w:tr w:rsidR="00B97A98" w:rsidTr="00045C37">
        <w:trPr>
          <w:trHeight w:val="38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2. Количество учащихся детских школ искусств</w:t>
            </w:r>
          </w:p>
        </w:tc>
      </w:tr>
      <w:tr w:rsidR="00B97A98" w:rsidTr="00045C37">
        <w:trPr>
          <w:trHeight w:val="66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3. Доля детских школ искусств, находящихся в удовлетворительном состоянии</w:t>
            </w:r>
          </w:p>
        </w:tc>
      </w:tr>
      <w:tr w:rsidR="00B97A98" w:rsidTr="00045C37">
        <w:trPr>
          <w:trHeight w:val="35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4. Прирост учащихся детских школ искусств</w:t>
            </w:r>
          </w:p>
        </w:tc>
      </w:tr>
      <w:tr w:rsidR="00B97A98" w:rsidTr="00045C37">
        <w:trPr>
          <w:trHeight w:val="112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5. Доля молодых граждан в возрасте от 14 до 35 лет,  участвующих в  мероприятиях гражданско-патриотической направленности.</w:t>
            </w:r>
          </w:p>
        </w:tc>
      </w:tr>
      <w:tr w:rsidR="00B97A98" w:rsidTr="00045C37">
        <w:trPr>
          <w:trHeight w:val="1398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6. Доля молодых граждан в возрасте от 14 до 35 лет, участвующих в мероприятиях по приоритетным направлениям молодёжной политики, от общего количества молодёжи.</w:t>
            </w:r>
          </w:p>
        </w:tc>
      </w:tr>
      <w:tr w:rsidR="00B97A98" w:rsidTr="006A559E">
        <w:trPr>
          <w:trHeight w:val="9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7. Доля граждан, участвующих в мероприятиях по патриотическому воспитанию, к  общей численности населения Каменского городского округа</w:t>
            </w:r>
          </w:p>
        </w:tc>
      </w:tr>
      <w:tr w:rsidR="00B97A98" w:rsidTr="006A559E">
        <w:trPr>
          <w:trHeight w:val="1982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 w:rsidP="008164D6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8. Доля молодых граждан в возрасте от 14 до 3</w:t>
            </w:r>
            <w:r w:rsidR="008164D6">
              <w:rPr>
                <w:rStyle w:val="CharacterStyle10"/>
              </w:rPr>
              <w:t>0</w:t>
            </w:r>
            <w:r>
              <w:rPr>
                <w:rStyle w:val="CharacterStyle10"/>
              </w:rPr>
              <w:t xml:space="preserve"> лет, регулярно участвующих в деятельности общественных объединений, различных формах общественного самоуправления, молодёжных объединениях, от общей численности молодых граждан в возрасте от 14 до 3</w:t>
            </w:r>
            <w:r w:rsidR="008164D6">
              <w:rPr>
                <w:rStyle w:val="CharacterStyle10"/>
              </w:rPr>
              <w:t>0</w:t>
            </w:r>
            <w:r>
              <w:rPr>
                <w:rStyle w:val="CharacterStyle10"/>
              </w:rPr>
              <w:t xml:space="preserve"> лет.</w:t>
            </w:r>
          </w:p>
        </w:tc>
      </w:tr>
      <w:tr w:rsidR="00B97A98" w:rsidTr="00AE2768">
        <w:trPr>
          <w:trHeight w:val="103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9. Количество обращений к порталу "Культура Урала.РФ" в МО "Каменский городской округ"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AE2768">
        <w:trPr>
          <w:trHeight w:hRule="exact" w:val="877"/>
        </w:trPr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AE2768" w:rsidTr="00AE2768">
        <w:trPr>
          <w:trHeight w:hRule="exact" w:val="68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:rsidR="00AE2768" w:rsidRDefault="00AE2768">
            <w:pPr>
              <w:rPr>
                <w:rStyle w:val="FakeCharacterStyle"/>
              </w:rPr>
            </w:pPr>
          </w:p>
        </w:tc>
      </w:tr>
      <w:tr w:rsidR="00B97A98" w:rsidTr="00AE2768">
        <w:trPr>
          <w:trHeight w:val="136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10. Количество специалистов, прошедших повышение квалификации на базе Центров непрерывного образования МО "Каменский городской округ"</w:t>
            </w:r>
          </w:p>
        </w:tc>
      </w:tr>
      <w:tr w:rsidR="00B97A98" w:rsidTr="00AE2768">
        <w:trPr>
          <w:trHeight w:val="102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11. Количество волонтеров, вовлеченных в программу "Волонтеры культуры" МО " Каменский городской округ"</w:t>
            </w:r>
          </w:p>
        </w:tc>
      </w:tr>
      <w:tr w:rsidR="00B97A98" w:rsidTr="006A559E">
        <w:trPr>
          <w:trHeight w:val="231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12. Наличие ресурсов в информационно-телекоммуникационной сети Интернет, позволяющих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Интернет</w:t>
            </w:r>
          </w:p>
        </w:tc>
      </w:tr>
      <w:tr w:rsidR="00B97A98" w:rsidTr="006A559E">
        <w:trPr>
          <w:trHeight w:val="163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13. Уровень удовлетворенности населения Каменского городского округа качеством и доступностью предоставляемых муниципальных услуг в сфере культуры, в процентах от общего количества обслуженных посетителей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14. Доля расходов на культуру в бюджете Каменского городского округа</w:t>
            </w:r>
          </w:p>
        </w:tc>
      </w:tr>
      <w:tr w:rsidR="00B97A98" w:rsidTr="006A559E">
        <w:trPr>
          <w:trHeight w:val="161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15. Доля доходов муниципальных учреждений культуры Каменского городского округа от предпринимательской и иной приносящей доход деятельности в общем объеме доходов этих учреждений</w:t>
            </w:r>
          </w:p>
        </w:tc>
      </w:tr>
      <w:tr w:rsidR="00B97A98" w:rsidTr="00FA25B7">
        <w:trPr>
          <w:trHeight w:val="113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Pr="00672A78" w:rsidRDefault="00ED1052">
            <w:pPr>
              <w:pStyle w:val="ParagraphStyle10"/>
              <w:rPr>
                <w:rStyle w:val="CharacterStyle10"/>
                <w:color w:val="auto"/>
              </w:rPr>
            </w:pPr>
            <w:r w:rsidRPr="00672A78">
              <w:rPr>
                <w:rStyle w:val="CharacterStyle10"/>
                <w:color w:val="auto"/>
              </w:rPr>
              <w:t>16. Количество созданных виртуальных концертных залов за счет средств бюджета Свердловской области в Каменском городском округе</w:t>
            </w:r>
          </w:p>
        </w:tc>
      </w:tr>
      <w:tr w:rsidR="00B97A98" w:rsidTr="00AE2768">
        <w:trPr>
          <w:trHeight w:val="135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17. Соотношение средней заработной платы работников учреждений культуры к средней заработной плате по экономике Свердловской области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AE2768">
        <w:trPr>
          <w:trHeight w:hRule="exact" w:val="929"/>
        </w:trPr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AE2768" w:rsidTr="00AE2768">
        <w:trPr>
          <w:trHeight w:hRule="exact" w:val="16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:rsidR="00AE2768" w:rsidRDefault="00AE2768">
            <w:pPr>
              <w:rPr>
                <w:rStyle w:val="FakeCharacterStyle"/>
              </w:rPr>
            </w:pPr>
          </w:p>
        </w:tc>
      </w:tr>
      <w:tr w:rsidR="00B97A98" w:rsidTr="00AE2768">
        <w:trPr>
          <w:trHeight w:val="103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18. Количество посещений культурно-массовых мероприятий клубов и домов культуры</w:t>
            </w:r>
          </w:p>
        </w:tc>
      </w:tr>
      <w:tr w:rsidR="00B97A98" w:rsidTr="00AE2768">
        <w:trPr>
          <w:trHeight w:val="102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19. Прирост посещений культурно-массовых мероприятий клубов и домов культуры</w:t>
            </w:r>
          </w:p>
        </w:tc>
      </w:tr>
      <w:tr w:rsidR="00B97A98" w:rsidTr="006A559E">
        <w:trPr>
          <w:trHeight w:val="52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20. Количество участников клубных формирований.</w:t>
            </w:r>
          </w:p>
        </w:tc>
      </w:tr>
      <w:tr w:rsidR="00B97A98" w:rsidTr="006A559E">
        <w:trPr>
          <w:trHeight w:val="39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21. Прирост участников клубных формирований.</w:t>
            </w:r>
          </w:p>
        </w:tc>
      </w:tr>
      <w:tr w:rsidR="00B97A98" w:rsidTr="006A559E">
        <w:trPr>
          <w:trHeight w:val="96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22. Доля детей, посещающих клубные формирования на постоянной основе, от общего количества детей в возрасте до 14 лет</w:t>
            </w:r>
          </w:p>
        </w:tc>
      </w:tr>
      <w:tr w:rsidR="00B97A98" w:rsidTr="006A559E">
        <w:trPr>
          <w:trHeight w:val="158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23. Доля граждан старше трудоспособного возраста, участвующих в деятельности объединений групп клубов по интересам различной направленности, от общего числа граждан старше трудоспособного возраста</w:t>
            </w:r>
          </w:p>
        </w:tc>
      </w:tr>
      <w:tr w:rsidR="00B97A98" w:rsidTr="006A559E">
        <w:trPr>
          <w:trHeight w:val="994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24. Увеличение количества любительских объединений и клубов по интересам для творчески активных людей старшего поколения.</w:t>
            </w:r>
          </w:p>
        </w:tc>
      </w:tr>
      <w:tr w:rsidR="00B97A98" w:rsidTr="006A559E">
        <w:trPr>
          <w:trHeight w:val="104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25. Количество сельских учреждений культуры, получивших грантовую поддержку в МО "Каменский городской округ"</w:t>
            </w:r>
          </w:p>
        </w:tc>
      </w:tr>
      <w:tr w:rsidR="00B97A98" w:rsidTr="006A559E">
        <w:trPr>
          <w:trHeight w:val="67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26. Число посещений культурных мероприятий в МО "Каменский городской округ"</w:t>
            </w:r>
          </w:p>
        </w:tc>
      </w:tr>
      <w:tr w:rsidR="00B97A98" w:rsidTr="006A559E">
        <w:trPr>
          <w:trHeight w:val="1346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27. Количество созданных (реконструированных) и капитально отремонтированных объектов организации культуры в МО "Каменский городской округ"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28. Количество посещений общедоступных (публичных) библиотек.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29. Прирост посещений общедоступных (публичных) библиотек.</w:t>
            </w:r>
          </w:p>
        </w:tc>
      </w:tr>
      <w:tr w:rsidR="00B97A98" w:rsidTr="006A559E">
        <w:trPr>
          <w:trHeight w:val="131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30. Количество экземпляров новых поступлений в фонды общедоступных муниципальных библиотек Каменского городского округа в расчете на 1000 человек жителей.</w:t>
            </w:r>
          </w:p>
        </w:tc>
      </w:tr>
      <w:tr w:rsidR="00B97A98" w:rsidTr="006A559E">
        <w:trPr>
          <w:trHeight w:val="1044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31. Доля учреждений культуры и искусства, находящихся в удовлетворительном состоянии, в общем количестве учреждений культуры и искусства</w:t>
            </w:r>
          </w:p>
        </w:tc>
      </w:tr>
      <w:tr w:rsidR="00B97A98" w:rsidTr="006A559E">
        <w:trPr>
          <w:trHeight w:val="1068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32. Доля  мероприятий, направленных на гармонизацию межэтнических отношений от общего числа проводимых мероприятий.</w:t>
            </w:r>
          </w:p>
        </w:tc>
      </w:tr>
      <w:tr w:rsidR="00B97A98" w:rsidTr="006A559E">
        <w:trPr>
          <w:trHeight w:val="7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33. Доля граждан, положительно оценивающих состояние межнациональных отношений</w:t>
            </w:r>
          </w:p>
        </w:tc>
      </w:tr>
      <w:tr w:rsidR="00B97A98" w:rsidTr="006A559E">
        <w:trPr>
          <w:trHeight w:val="94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34. Доля участников мероприятий, направленных на гармонизацию межэтнических отношений от общего числа участников мероприятий</w:t>
            </w:r>
          </w:p>
        </w:tc>
      </w:tr>
      <w:tr w:rsidR="00B97A98" w:rsidTr="006A559E">
        <w:trPr>
          <w:trHeight w:val="1278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35. Доля проведенных контрольных мероприятий ведомственного финансового контроля муниципальных образовательных организаций, от запланированных</w:t>
            </w:r>
          </w:p>
        </w:tc>
      </w:tr>
      <w:tr w:rsidR="00B97A98" w:rsidTr="006A559E">
        <w:trPr>
          <w:trHeight w:val="1302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36. Доля устраненных нарушений в общем числе нарушений, выявленных в ходе контрольных мероприятий муниципальных образовательных организаций.</w:t>
            </w:r>
          </w:p>
        </w:tc>
      </w:tr>
      <w:tr w:rsidR="00B97A98" w:rsidTr="006A559E">
        <w:trPr>
          <w:trHeight w:val="617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37. Доля муниципальных служащих, прошедших курсы повышения квалификации</w:t>
            </w:r>
          </w:p>
        </w:tc>
      </w:tr>
      <w:tr w:rsidR="00B97A98" w:rsidTr="00AE2768">
        <w:trPr>
          <w:trHeight w:val="69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38. Доля муниципальных служащих, прошедших диспансеризацию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6A559E">
        <w:trPr>
          <w:trHeight w:val="61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39. Доля квалифицированных специалистов, работающих в сфере физической культуры и спорта</w:t>
            </w:r>
          </w:p>
        </w:tc>
      </w:tr>
      <w:tr w:rsidR="00B97A98" w:rsidTr="006A559E">
        <w:trPr>
          <w:trHeight w:val="240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40.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не имеющего противопоказаний для занятий физической культурой и спортом, от общей численности данной категории населения.</w:t>
            </w:r>
          </w:p>
        </w:tc>
      </w:tr>
      <w:tr w:rsidR="00B97A98" w:rsidTr="00AE2768">
        <w:trPr>
          <w:trHeight w:val="135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41. Доля детей и молодежи (возраст 3–29 лет), систематически занимающихся физической культурой и спортом, в общей численности детей и молодежи.</w:t>
            </w:r>
          </w:p>
        </w:tc>
      </w:tr>
      <w:tr w:rsidR="00B97A98" w:rsidTr="006A559E">
        <w:trPr>
          <w:trHeight w:val="174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42. Доля граждан среднего возраста (женщины: 30–54 года; мужчины: 30–59 лет), систематически занимающихся физической культурой и спортом, в общей численности граждан среднего возраста МО "Каменский городской округ"</w:t>
            </w:r>
          </w:p>
        </w:tc>
      </w:tr>
      <w:tr w:rsidR="00B97A98" w:rsidTr="006A559E">
        <w:trPr>
          <w:trHeight w:val="143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43. Доля населения Каменского городского округа, занятого в экономике, занимающегося физической культурой и спортом, в общей численности населения, занятого в экономике.</w:t>
            </w:r>
          </w:p>
        </w:tc>
      </w:tr>
      <w:tr w:rsidR="00B97A98" w:rsidTr="00AE2768">
        <w:trPr>
          <w:trHeight w:val="168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44. Доля населения Каменского городского округа, систематически занимающегося физической культурой и спортом, в общей численности населения Каменского городского округа в возрасте 3-79 лет.</w:t>
            </w:r>
          </w:p>
        </w:tc>
      </w:tr>
      <w:tr w:rsidR="00B97A98" w:rsidTr="006A559E">
        <w:trPr>
          <w:trHeight w:val="1042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</w:tc>
      </w:tr>
      <w:tr w:rsidR="00B97A98" w:rsidTr="006A559E">
        <w:trPr>
          <w:trHeight w:val="949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46. Доля граждан старшего поколения, занимающихся физической культурой и спортом, от общей численности граждан старшего поколения.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520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6A559E">
        <w:trPr>
          <w:trHeight w:val="160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47. Доля граждан старшего возраста (женщины:55-79 лет; мужчины:60-79 лет), систематически занимающихся физической культурой и спортом, в общей численности граждан старшего возраста МО "Каменский городской округ"</w:t>
            </w:r>
          </w:p>
        </w:tc>
      </w:tr>
      <w:tr w:rsidR="00B97A98" w:rsidTr="006A559E">
        <w:trPr>
          <w:trHeight w:val="713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48. Увеличение количества проводимых физкультурных и спортивных мероприятий</w:t>
            </w:r>
          </w:p>
        </w:tc>
      </w:tr>
      <w:tr w:rsidR="00B97A98" w:rsidTr="006A559E">
        <w:trPr>
          <w:trHeight w:val="2656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49. Доля населения  Каменского городского округа, выполнившего нормативы испытаний (тестов) Всероссийского физкультурно-спортивного комплекса «ГТО», в общей численности населения Каменского городского округа, принявшего участие в выполнении нормативов испытаний (тестов) Всероссийского физкультурно-спортивного комплекса «ГТО».</w:t>
            </w:r>
          </w:p>
        </w:tc>
      </w:tr>
      <w:tr w:rsidR="00B97A98" w:rsidTr="00AE2768">
        <w:trPr>
          <w:trHeight w:val="1635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50. Доля мероприятий, направленных на профилактику социально опасных заболеваний и формирование здорового образа жизни в общей численности проводимых физкультурных и спортивных мероприятий.</w:t>
            </w:r>
          </w:p>
        </w:tc>
      </w:tr>
      <w:tr w:rsidR="00B97A98" w:rsidTr="006A559E">
        <w:trPr>
          <w:trHeight w:val="1328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51. Доля лиц, занимающихся по программам спортивной подготовки в организациях ведомственной принадлежности физической культуры и спорта МО "Каменский городской округ"</w:t>
            </w:r>
          </w:p>
        </w:tc>
      </w:tr>
      <w:tr w:rsidR="00B97A98" w:rsidTr="00AE2768">
        <w:trPr>
          <w:trHeight w:val="122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52. Уровень обеспеченности граждан спортивными сооружениями исходя из единовременной пропускной способности объектов спорта МО "Каменский городской округ"</w:t>
            </w:r>
          </w:p>
        </w:tc>
      </w:tr>
      <w:tr w:rsidR="00B97A98" w:rsidTr="0071666B">
        <w:trPr>
          <w:trHeight w:val="36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"/>
              <w:rPr>
                <w:rStyle w:val="CharacterStyle1"/>
              </w:rPr>
            </w:pPr>
            <w:r>
              <w:rPr>
                <w:rStyle w:val="CharacterStyle1"/>
              </w:rPr>
              <w:t>Обьем финансирования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2"/>
              <w:rPr>
                <w:rStyle w:val="CharacterStyle2"/>
              </w:rPr>
            </w:pPr>
            <w:r>
              <w:rPr>
                <w:rStyle w:val="CharacterStyle2"/>
              </w:rPr>
              <w:t>ВСЕГО:</w:t>
            </w:r>
          </w:p>
        </w:tc>
      </w:tr>
      <w:tr w:rsidR="00B97A98" w:rsidTr="0071666B">
        <w:trPr>
          <w:trHeight w:val="36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6"/>
              <w:rPr>
                <w:rStyle w:val="CharacterStyle6"/>
              </w:rPr>
            </w:pPr>
            <w:r>
              <w:rPr>
                <w:rStyle w:val="CharacterStyle6"/>
              </w:rPr>
              <w:t>муниципальной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823 175,40 тыс. рублей</w:t>
            </w:r>
          </w:p>
        </w:tc>
      </w:tr>
      <w:tr w:rsidR="00B97A98" w:rsidTr="00136B6B">
        <w:trPr>
          <w:trHeight w:val="360"/>
        </w:trPr>
        <w:tc>
          <w:tcPr>
            <w:tcW w:w="20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52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6"/>
              <w:rPr>
                <w:rStyle w:val="CharacterStyle6"/>
              </w:rPr>
            </w:pPr>
            <w:r>
              <w:rPr>
                <w:rStyle w:val="CharacterStyle6"/>
              </w:rPr>
              <w:t>программы по годам</w:t>
            </w:r>
          </w:p>
        </w:tc>
        <w:tc>
          <w:tcPr>
            <w:tcW w:w="66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в том числе:</w:t>
            </w: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3398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136B6B">
        <w:trPr>
          <w:trHeight w:val="198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6"/>
              <w:rPr>
                <w:rStyle w:val="CharacterStyle6"/>
              </w:rPr>
            </w:pPr>
            <w:r>
              <w:rPr>
                <w:rStyle w:val="CharacterStyle6"/>
              </w:rPr>
              <w:t>реализации, тыс. рублей</w:t>
            </w:r>
          </w:p>
        </w:tc>
        <w:tc>
          <w:tcPr>
            <w:tcW w:w="6666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proofErr w:type="gramStart"/>
            <w:r>
              <w:rPr>
                <w:rStyle w:val="CharacterStyle5"/>
              </w:rPr>
              <w:t xml:space="preserve">2021 год - 168 935,10 тыс. рублей, </w:t>
            </w:r>
            <w:r>
              <w:rPr>
                <w:rStyle w:val="CharacterStyle5"/>
              </w:rPr>
              <w:br/>
              <w:t xml:space="preserve">2022 год - 144 516,40 тыс. рублей, </w:t>
            </w:r>
            <w:r>
              <w:rPr>
                <w:rStyle w:val="CharacterStyle5"/>
              </w:rPr>
              <w:br/>
              <w:t xml:space="preserve">2023 год - 145 637,00 тыс. рублей, </w:t>
            </w:r>
            <w:r>
              <w:rPr>
                <w:rStyle w:val="CharacterStyle5"/>
              </w:rPr>
              <w:br/>
              <w:t xml:space="preserve">2024 год - 121 362,30 тыс. рублей, </w:t>
            </w:r>
            <w:r>
              <w:rPr>
                <w:rStyle w:val="CharacterStyle5"/>
              </w:rPr>
              <w:br/>
              <w:t xml:space="preserve">2025 год - 121 362,30 тыс. рублей, </w:t>
            </w:r>
            <w:r>
              <w:rPr>
                <w:rStyle w:val="CharacterStyle5"/>
              </w:rPr>
              <w:br/>
              <w:t>2026 год - 121 362,30 тыс. рублей</w:t>
            </w:r>
            <w:proofErr w:type="gramEnd"/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4"/>
              <w:rPr>
                <w:rStyle w:val="CharacterStyle4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5"/>
              <w:rPr>
                <w:rStyle w:val="CharacterStyle5"/>
              </w:rPr>
            </w:pPr>
            <w:r>
              <w:rPr>
                <w:rStyle w:val="CharacterStyle5"/>
              </w:rPr>
              <w:t>из них: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областной бюджет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1 428,40 тыс. рублей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в том числе:</w:t>
            </w:r>
          </w:p>
        </w:tc>
      </w:tr>
      <w:tr w:rsidR="00B97A98" w:rsidTr="0071666B">
        <w:trPr>
          <w:trHeight w:val="1995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proofErr w:type="gramStart"/>
            <w:r>
              <w:rPr>
                <w:rStyle w:val="CharacterStyle11"/>
              </w:rPr>
              <w:t xml:space="preserve">2021 год - 1 428,40 тыс. рублей, </w:t>
            </w:r>
            <w:r>
              <w:rPr>
                <w:rStyle w:val="CharacterStyle11"/>
              </w:rPr>
              <w:br/>
              <w:t xml:space="preserve">2022 год - 0,00 тыс. рублей, </w:t>
            </w:r>
            <w:r>
              <w:rPr>
                <w:rStyle w:val="CharacterStyle11"/>
              </w:rPr>
              <w:br/>
              <w:t xml:space="preserve">2023 год - 0,00 тыс. рублей, </w:t>
            </w:r>
            <w:r>
              <w:rPr>
                <w:rStyle w:val="CharacterStyle11"/>
              </w:rPr>
              <w:br/>
              <w:t xml:space="preserve">2024 год - 0,00 тыс. рублей, </w:t>
            </w:r>
            <w:r>
              <w:rPr>
                <w:rStyle w:val="CharacterStyle11"/>
              </w:rPr>
              <w:br/>
              <w:t xml:space="preserve">2025 год - 0,00 тыс. рублей, </w:t>
            </w:r>
            <w:r>
              <w:rPr>
                <w:rStyle w:val="CharacterStyle11"/>
              </w:rPr>
              <w:br/>
              <w:t>2026 год - 0,00 тыс. рублей</w:t>
            </w:r>
            <w:proofErr w:type="gramEnd"/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федеральный бюджет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15 396,20 тыс. рублей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в том числе:</w:t>
            </w:r>
          </w:p>
        </w:tc>
      </w:tr>
      <w:tr w:rsidR="00B97A98" w:rsidTr="0071666B">
        <w:trPr>
          <w:trHeight w:val="201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proofErr w:type="gramStart"/>
            <w:r>
              <w:rPr>
                <w:rStyle w:val="CharacterStyle11"/>
              </w:rPr>
              <w:t xml:space="preserve">2021 год - 15 396,20 тыс. рублей, </w:t>
            </w:r>
            <w:r>
              <w:rPr>
                <w:rStyle w:val="CharacterStyle11"/>
              </w:rPr>
              <w:br/>
              <w:t xml:space="preserve">2022 год - 0,00 тыс. рублей, </w:t>
            </w:r>
            <w:r>
              <w:rPr>
                <w:rStyle w:val="CharacterStyle11"/>
              </w:rPr>
              <w:br/>
              <w:t xml:space="preserve">2023 год - 0,00 тыс. рублей, </w:t>
            </w:r>
            <w:r>
              <w:rPr>
                <w:rStyle w:val="CharacterStyle11"/>
              </w:rPr>
              <w:br/>
              <w:t xml:space="preserve">2024 год - 0,00 тыс. рублей, </w:t>
            </w:r>
            <w:r>
              <w:rPr>
                <w:rStyle w:val="CharacterStyle11"/>
              </w:rPr>
              <w:br/>
              <w:t xml:space="preserve">2025 год - 0,00 тыс. рублей, </w:t>
            </w:r>
            <w:r>
              <w:rPr>
                <w:rStyle w:val="CharacterStyle11"/>
              </w:rPr>
              <w:br/>
              <w:t>2026 год - 0,00 тыс. рублей</w:t>
            </w:r>
            <w:proofErr w:type="gramEnd"/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0"/>
              <w:rPr>
                <w:rStyle w:val="CharacterStyle10"/>
              </w:rPr>
            </w:pPr>
            <w:r>
              <w:rPr>
                <w:rStyle w:val="CharacterStyle10"/>
              </w:rPr>
              <w:t>местный бюджет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806 350,80 тыс. рублей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r>
              <w:rPr>
                <w:rStyle w:val="CharacterStyle11"/>
              </w:rPr>
              <w:t>в том числе:</w:t>
            </w:r>
          </w:p>
        </w:tc>
      </w:tr>
      <w:tr w:rsidR="00B97A98" w:rsidTr="0071666B">
        <w:trPr>
          <w:trHeight w:val="1995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9"/>
              <w:rPr>
                <w:rStyle w:val="CharacterStyle9"/>
              </w:rPr>
            </w:pP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1"/>
              <w:rPr>
                <w:rStyle w:val="CharacterStyle11"/>
              </w:rPr>
            </w:pPr>
            <w:proofErr w:type="gramStart"/>
            <w:r>
              <w:rPr>
                <w:rStyle w:val="CharacterStyle11"/>
              </w:rPr>
              <w:t xml:space="preserve">2021 год - 152 110,50 тыс. рублей, </w:t>
            </w:r>
            <w:r>
              <w:rPr>
                <w:rStyle w:val="CharacterStyle11"/>
              </w:rPr>
              <w:br/>
              <w:t xml:space="preserve">2022 год - 144 516,40 тыс. рублей, </w:t>
            </w:r>
            <w:r>
              <w:rPr>
                <w:rStyle w:val="CharacterStyle11"/>
              </w:rPr>
              <w:br/>
              <w:t xml:space="preserve">2023 год - 145 637,00 тыс. рублей, </w:t>
            </w:r>
            <w:r>
              <w:rPr>
                <w:rStyle w:val="CharacterStyle11"/>
              </w:rPr>
              <w:br/>
              <w:t xml:space="preserve">2024 год - 121 362,30 тыс. рублей, </w:t>
            </w:r>
            <w:r>
              <w:rPr>
                <w:rStyle w:val="CharacterStyle11"/>
              </w:rPr>
              <w:br/>
              <w:t xml:space="preserve">2025 год - 121 362,30 тыс. рублей, </w:t>
            </w:r>
            <w:r>
              <w:rPr>
                <w:rStyle w:val="CharacterStyle11"/>
              </w:rPr>
              <w:br/>
              <w:t>2026 год - 121 362,30 тыс. рублей</w:t>
            </w:r>
            <w:proofErr w:type="gramEnd"/>
          </w:p>
        </w:tc>
      </w:tr>
      <w:tr w:rsidR="00B97A98" w:rsidTr="0071666B">
        <w:trPr>
          <w:trHeight w:val="375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7"/>
              <w:rPr>
                <w:rStyle w:val="CharacterStyle7"/>
              </w:rPr>
            </w:pPr>
            <w:r>
              <w:rPr>
                <w:rStyle w:val="CharacterStyle7"/>
              </w:rPr>
              <w:t>Адрес размещения</w:t>
            </w:r>
          </w:p>
        </w:tc>
        <w:tc>
          <w:tcPr>
            <w:tcW w:w="666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8"/>
              <w:rPr>
                <w:rStyle w:val="CharacterStyle8"/>
              </w:rPr>
            </w:pPr>
            <w:r>
              <w:rPr>
                <w:rStyle w:val="CharacterStyle8"/>
              </w:rPr>
              <w:t>www.kamensk-adm.ru</w:t>
            </w: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2"/>
              <w:rPr>
                <w:rStyle w:val="CharacterStyle12"/>
              </w:rPr>
            </w:pPr>
            <w:r>
              <w:rPr>
                <w:rStyle w:val="CharacterStyle12"/>
              </w:rPr>
              <w:t>муниципальной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13"/>
              <w:rPr>
                <w:rStyle w:val="CharacterStyle13"/>
              </w:rPr>
            </w:pP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2"/>
              <w:rPr>
                <w:rStyle w:val="CharacterStyle12"/>
              </w:rPr>
            </w:pPr>
            <w:r>
              <w:rPr>
                <w:rStyle w:val="CharacterStyle12"/>
              </w:rPr>
              <w:t>программы в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13"/>
              <w:rPr>
                <w:rStyle w:val="CharacterStyle13"/>
              </w:rPr>
            </w:pPr>
          </w:p>
        </w:tc>
      </w:tr>
      <w:tr w:rsidR="00B97A98" w:rsidTr="007166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2"/>
              <w:rPr>
                <w:rStyle w:val="CharacterStyle12"/>
              </w:rPr>
            </w:pPr>
            <w:r>
              <w:rPr>
                <w:rStyle w:val="CharacterStyle12"/>
              </w:rPr>
              <w:t>информационно-</w:t>
            </w:r>
          </w:p>
        </w:tc>
        <w:tc>
          <w:tcPr>
            <w:tcW w:w="6666" w:type="dxa"/>
            <w:tcBorders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13"/>
              <w:rPr>
                <w:rStyle w:val="CharacterStyle13"/>
              </w:rPr>
            </w:pPr>
          </w:p>
        </w:tc>
      </w:tr>
      <w:tr w:rsidR="00B97A98" w:rsidTr="00136B6B">
        <w:trPr>
          <w:trHeight w:val="360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ED1052">
            <w:pPr>
              <w:pStyle w:val="ParagraphStyle12"/>
              <w:rPr>
                <w:rStyle w:val="CharacterStyle12"/>
              </w:rPr>
            </w:pPr>
            <w:r>
              <w:rPr>
                <w:rStyle w:val="CharacterStyle12"/>
              </w:rPr>
              <w:t>-телекоммуникационной</w:t>
            </w:r>
          </w:p>
        </w:tc>
        <w:tc>
          <w:tcPr>
            <w:tcW w:w="66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13"/>
              <w:rPr>
                <w:rStyle w:val="CharacterStyle13"/>
              </w:rPr>
            </w:pPr>
          </w:p>
        </w:tc>
      </w:tr>
    </w:tbl>
    <w:p w:rsidR="00B97A98" w:rsidRDefault="00B97A98">
      <w:pPr>
        <w:sectPr w:rsidR="00B97A98">
          <w:pgSz w:w="12240" w:h="15840"/>
          <w:pgMar w:top="0" w:right="1440" w:bottom="0" w:left="1440" w:header="708" w:footer="708" w:gutter="0"/>
          <w:cols w:space="720"/>
        </w:sectPr>
      </w:pP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3398"/>
        <w:gridCol w:w="6666"/>
      </w:tblGrid>
      <w:tr w:rsidR="00B97A98" w:rsidTr="0071666B">
        <w:trPr>
          <w:trHeight w:hRule="exact" w:val="945"/>
        </w:trPr>
        <w:tc>
          <w:tcPr>
            <w:tcW w:w="10206" w:type="dxa"/>
            <w:gridSpan w:val="3"/>
          </w:tcPr>
          <w:p w:rsidR="00B97A98" w:rsidRDefault="00B97A98">
            <w:pPr>
              <w:rPr>
                <w:rStyle w:val="FakeCharacterStyle"/>
              </w:rPr>
            </w:pPr>
          </w:p>
        </w:tc>
      </w:tr>
      <w:tr w:rsidR="00B97A98" w:rsidTr="00136B6B">
        <w:trPr>
          <w:trHeight w:val="375"/>
        </w:trPr>
        <w:tc>
          <w:tcPr>
            <w:tcW w:w="142" w:type="dxa"/>
          </w:tcPr>
          <w:p w:rsidR="00B97A98" w:rsidRDefault="00B97A98">
            <w:pPr>
              <w:rPr>
                <w:rStyle w:val="FakeCharacterStyle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ED1052" w:rsidP="0071666B">
            <w:pPr>
              <w:pStyle w:val="ParagraphStyle14"/>
              <w:ind w:left="0"/>
              <w:rPr>
                <w:rStyle w:val="CharacterStyle14"/>
              </w:rPr>
            </w:pPr>
            <w:r>
              <w:rPr>
                <w:rStyle w:val="CharacterStyle14"/>
              </w:rPr>
              <w:t>сети Интернет</w:t>
            </w:r>
          </w:p>
        </w:tc>
        <w:tc>
          <w:tcPr>
            <w:tcW w:w="6666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7A98" w:rsidRDefault="00B97A98">
            <w:pPr>
              <w:pStyle w:val="ParagraphStyle15"/>
              <w:rPr>
                <w:rStyle w:val="CharacterStyle15"/>
              </w:rPr>
            </w:pPr>
          </w:p>
        </w:tc>
      </w:tr>
    </w:tbl>
    <w:p w:rsidR="00ED1052" w:rsidRDefault="00ED1052"/>
    <w:sectPr w:rsidR="00ED1052" w:rsidSect="00B97A98">
      <w:pgSz w:w="12240" w:h="15840"/>
      <w:pgMar w:top="0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7A98"/>
    <w:rsid w:val="00045C37"/>
    <w:rsid w:val="00064F70"/>
    <w:rsid w:val="000F4B84"/>
    <w:rsid w:val="00136B6B"/>
    <w:rsid w:val="00290ACF"/>
    <w:rsid w:val="002C1AF8"/>
    <w:rsid w:val="00316D58"/>
    <w:rsid w:val="0041430B"/>
    <w:rsid w:val="00672A78"/>
    <w:rsid w:val="006A559E"/>
    <w:rsid w:val="006B28EF"/>
    <w:rsid w:val="0071666B"/>
    <w:rsid w:val="008164D6"/>
    <w:rsid w:val="00AE2768"/>
    <w:rsid w:val="00B97A98"/>
    <w:rsid w:val="00ED1052"/>
    <w:rsid w:val="00F35426"/>
    <w:rsid w:val="00FA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7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B97A98"/>
    <w:pPr>
      <w:ind w:left="28" w:right="28"/>
      <w:jc w:val="center"/>
    </w:pPr>
  </w:style>
  <w:style w:type="paragraph" w:customStyle="1" w:styleId="ParagraphStyle1">
    <w:name w:val="ParagraphStyle1"/>
    <w:hidden/>
    <w:rsid w:val="00B97A98"/>
    <w:pPr>
      <w:ind w:left="28" w:right="28"/>
    </w:pPr>
  </w:style>
  <w:style w:type="paragraph" w:customStyle="1" w:styleId="ParagraphStyle2">
    <w:name w:val="ParagraphStyle2"/>
    <w:hidden/>
    <w:rsid w:val="00B97A98"/>
    <w:pPr>
      <w:ind w:left="28" w:right="28"/>
    </w:pPr>
  </w:style>
  <w:style w:type="paragraph" w:customStyle="1" w:styleId="ParagraphStyle3">
    <w:name w:val="ParagraphStyle3"/>
    <w:hidden/>
    <w:rsid w:val="00B97A98"/>
    <w:pPr>
      <w:ind w:left="28" w:right="28"/>
    </w:pPr>
  </w:style>
  <w:style w:type="paragraph" w:customStyle="1" w:styleId="ParagraphStyle4">
    <w:name w:val="ParagraphStyle4"/>
    <w:hidden/>
    <w:rsid w:val="00B97A98"/>
    <w:pPr>
      <w:ind w:left="28" w:right="28"/>
    </w:pPr>
  </w:style>
  <w:style w:type="paragraph" w:customStyle="1" w:styleId="ParagraphStyle5">
    <w:name w:val="ParagraphStyle5"/>
    <w:hidden/>
    <w:rsid w:val="00B97A98"/>
    <w:pPr>
      <w:ind w:left="28" w:right="28"/>
    </w:pPr>
  </w:style>
  <w:style w:type="paragraph" w:customStyle="1" w:styleId="ParagraphStyle6">
    <w:name w:val="ParagraphStyle6"/>
    <w:hidden/>
    <w:rsid w:val="00B97A98"/>
    <w:pPr>
      <w:ind w:left="28" w:right="28"/>
    </w:pPr>
  </w:style>
  <w:style w:type="paragraph" w:customStyle="1" w:styleId="ParagraphStyle7">
    <w:name w:val="ParagraphStyle7"/>
    <w:hidden/>
    <w:rsid w:val="00B97A98"/>
    <w:pPr>
      <w:ind w:left="115"/>
    </w:pPr>
  </w:style>
  <w:style w:type="paragraph" w:customStyle="1" w:styleId="ParagraphStyle8">
    <w:name w:val="ParagraphStyle8"/>
    <w:hidden/>
    <w:rsid w:val="00B97A98"/>
    <w:pPr>
      <w:ind w:left="115" w:right="115"/>
      <w:jc w:val="both"/>
    </w:pPr>
  </w:style>
  <w:style w:type="paragraph" w:customStyle="1" w:styleId="ParagraphStyle9">
    <w:name w:val="ParagraphStyle9"/>
    <w:hidden/>
    <w:rsid w:val="00B97A98"/>
    <w:pPr>
      <w:ind w:left="115"/>
    </w:pPr>
  </w:style>
  <w:style w:type="paragraph" w:customStyle="1" w:styleId="ParagraphStyle10">
    <w:name w:val="ParagraphStyle10"/>
    <w:hidden/>
    <w:rsid w:val="00B97A98"/>
    <w:pPr>
      <w:ind w:left="115" w:right="115"/>
      <w:jc w:val="both"/>
    </w:pPr>
  </w:style>
  <w:style w:type="paragraph" w:customStyle="1" w:styleId="ParagraphStyle11">
    <w:name w:val="ParagraphStyle11"/>
    <w:hidden/>
    <w:rsid w:val="00B97A98"/>
    <w:pPr>
      <w:ind w:left="115"/>
    </w:pPr>
  </w:style>
  <w:style w:type="paragraph" w:customStyle="1" w:styleId="ParagraphStyle12">
    <w:name w:val="ParagraphStyle12"/>
    <w:hidden/>
    <w:rsid w:val="00B97A98"/>
    <w:pPr>
      <w:ind w:left="115"/>
    </w:pPr>
  </w:style>
  <w:style w:type="paragraph" w:customStyle="1" w:styleId="ParagraphStyle13">
    <w:name w:val="ParagraphStyle13"/>
    <w:hidden/>
    <w:rsid w:val="00B97A98"/>
    <w:pPr>
      <w:ind w:left="115"/>
    </w:pPr>
  </w:style>
  <w:style w:type="paragraph" w:customStyle="1" w:styleId="ParagraphStyle14">
    <w:name w:val="ParagraphStyle14"/>
    <w:hidden/>
    <w:rsid w:val="00B97A98"/>
    <w:pPr>
      <w:ind w:left="115"/>
    </w:pPr>
  </w:style>
  <w:style w:type="paragraph" w:customStyle="1" w:styleId="ParagraphStyle15">
    <w:name w:val="ParagraphStyle15"/>
    <w:hidden/>
    <w:rsid w:val="00B97A98"/>
    <w:pPr>
      <w:ind w:left="115"/>
    </w:pPr>
  </w:style>
  <w:style w:type="character" w:customStyle="1" w:styleId="1">
    <w:name w:val="Номер строки1"/>
    <w:basedOn w:val="a0"/>
    <w:semiHidden/>
    <w:rsid w:val="00B97A98"/>
  </w:style>
  <w:style w:type="character" w:styleId="a3">
    <w:name w:val="Hyperlink"/>
    <w:rsid w:val="00B97A98"/>
    <w:rPr>
      <w:color w:val="0000FF"/>
      <w:u w:val="single"/>
    </w:rPr>
  </w:style>
  <w:style w:type="character" w:customStyle="1" w:styleId="FakeCharacterStyle">
    <w:name w:val="FakeCharacterStyle"/>
    <w:hidden/>
    <w:rsid w:val="00B97A98"/>
    <w:rPr>
      <w:sz w:val="1"/>
      <w:szCs w:val="1"/>
    </w:rPr>
  </w:style>
  <w:style w:type="character" w:customStyle="1" w:styleId="CharacterStyle0">
    <w:name w:val="CharacterStyle0"/>
    <w:hidden/>
    <w:rsid w:val="00B97A98"/>
    <w:rPr>
      <w:rFonts w:ascii="Times New Roman" w:hAnsi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sid w:val="00B97A98"/>
    <w:rPr>
      <w:rFonts w:ascii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sid w:val="00B97A98"/>
    <w:rPr>
      <w:rFonts w:ascii="Times New Roman" w:hAnsi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0">
    <w:name w:val="Table Simple 1"/>
    <w:basedOn w:val="a1"/>
    <w:rsid w:val="00B97A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542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2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53388-882A-4EE3-AE8E-449AE2F4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32</cp:revision>
  <cp:lastPrinted>2021-12-23T09:04:00Z</cp:lastPrinted>
  <dcterms:created xsi:type="dcterms:W3CDTF">2021-12-03T06:55:00Z</dcterms:created>
  <dcterms:modified xsi:type="dcterms:W3CDTF">2021-12-23T09:04:00Z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17.2.15.0</vt:lpwstr>
  </property>
</Properties>
</file>